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B0E3E" w14:textId="77777777" w:rsidR="00270DF9" w:rsidRPr="00270DF9" w:rsidRDefault="00270DF9" w:rsidP="00270DF9">
      <w:pPr>
        <w:shd w:val="clear" w:color="auto" w:fill="1F497D"/>
        <w:spacing w:after="0"/>
        <w:jc w:val="center"/>
        <w:rPr>
          <w:rFonts w:ascii="Century Gothic" w:eastAsia="Times New Roman" w:hAnsi="Century Gothic" w:cs="Calibri"/>
          <w:b/>
          <w:color w:val="FFFFFF"/>
          <w:sz w:val="24"/>
          <w:szCs w:val="24"/>
        </w:rPr>
      </w:pPr>
      <w:bookmarkStart w:id="0" w:name="_GoBack"/>
      <w:bookmarkEnd w:id="0"/>
    </w:p>
    <w:p w14:paraId="17FE2815" w14:textId="77777777" w:rsidR="00270DF9" w:rsidRPr="00270DF9" w:rsidRDefault="00270DF9" w:rsidP="00270DF9">
      <w:pPr>
        <w:shd w:val="clear" w:color="auto" w:fill="1F497D"/>
        <w:spacing w:after="0"/>
        <w:jc w:val="center"/>
        <w:rPr>
          <w:rFonts w:ascii="Century Gothic" w:eastAsia="Times New Roman" w:hAnsi="Century Gothic" w:cs="Calibri"/>
          <w:b/>
          <w:color w:val="FFFFFF"/>
          <w:sz w:val="24"/>
          <w:szCs w:val="24"/>
        </w:rPr>
      </w:pPr>
      <w:r w:rsidRPr="00270DF9">
        <w:rPr>
          <w:rFonts w:ascii="Century Gothic" w:eastAsia="Times New Roman" w:hAnsi="Century Gothic" w:cs="Calibri"/>
          <w:b/>
          <w:color w:val="FFFFFF"/>
          <w:sz w:val="24"/>
          <w:szCs w:val="24"/>
        </w:rPr>
        <w:t>Note de présentation en vue d’une</w:t>
      </w:r>
    </w:p>
    <w:p w14:paraId="0C547304" w14:textId="5B432C52" w:rsidR="00270DF9" w:rsidRPr="00270DF9" w:rsidRDefault="00270DF9" w:rsidP="00270DF9">
      <w:pPr>
        <w:shd w:val="clear" w:color="auto" w:fill="1F497D"/>
        <w:spacing w:after="0"/>
        <w:jc w:val="center"/>
        <w:rPr>
          <w:rFonts w:ascii="Century Gothic" w:eastAsia="Times New Roman" w:hAnsi="Century Gothic" w:cs="Calibri"/>
          <w:b/>
          <w:color w:val="FFFFFF"/>
          <w:sz w:val="24"/>
          <w:szCs w:val="24"/>
        </w:rPr>
      </w:pPr>
      <w:r w:rsidRPr="00270DF9">
        <w:rPr>
          <w:rFonts w:ascii="Century Gothic" w:eastAsia="Times New Roman" w:hAnsi="Century Gothic" w:cs="Calibri"/>
          <w:b/>
          <w:color w:val="FFFFFF"/>
          <w:sz w:val="24"/>
          <w:szCs w:val="24"/>
        </w:rPr>
        <w:t>Convention de Partenariat Pluriannuel (CPP)</w:t>
      </w:r>
      <w:r w:rsidR="00477DFE">
        <w:rPr>
          <w:rFonts w:ascii="Century Gothic" w:eastAsia="Times New Roman" w:hAnsi="Century Gothic" w:cs="Calibri"/>
          <w:b/>
          <w:color w:val="FFFFFF"/>
          <w:sz w:val="24"/>
          <w:szCs w:val="24"/>
        </w:rPr>
        <w:t xml:space="preserve"> – version 2023</w:t>
      </w:r>
    </w:p>
    <w:p w14:paraId="1ECD1B93" w14:textId="77777777" w:rsidR="00270DF9" w:rsidRPr="00270DF9" w:rsidRDefault="00270DF9" w:rsidP="00270DF9">
      <w:pPr>
        <w:shd w:val="clear" w:color="auto" w:fill="1F497D"/>
        <w:spacing w:after="0"/>
        <w:jc w:val="both"/>
        <w:rPr>
          <w:rFonts w:ascii="Century Gothic" w:eastAsia="Times New Roman" w:hAnsi="Century Gothic" w:cs="Calibri"/>
          <w:b/>
          <w:color w:val="FFFFFF"/>
          <w:sz w:val="20"/>
          <w:szCs w:val="20"/>
        </w:rPr>
      </w:pPr>
    </w:p>
    <w:p w14:paraId="3DA795F1" w14:textId="77777777" w:rsidR="00270DF9" w:rsidRPr="00270DF9" w:rsidRDefault="00270DF9" w:rsidP="00270DF9">
      <w:pPr>
        <w:shd w:val="clear" w:color="auto" w:fill="FFFFFF"/>
        <w:spacing w:after="0"/>
        <w:jc w:val="both"/>
        <w:rPr>
          <w:rFonts w:ascii="Century Gothic" w:eastAsia="Times New Roman" w:hAnsi="Century Gothic" w:cs="Calibri"/>
          <w:sz w:val="20"/>
          <w:szCs w:val="20"/>
        </w:rPr>
      </w:pPr>
    </w:p>
    <w:p w14:paraId="61301996" w14:textId="77777777" w:rsidR="00270DF9" w:rsidRPr="00270DF9" w:rsidRDefault="00270DF9" w:rsidP="00270DF9">
      <w:pPr>
        <w:spacing w:after="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fr-FR"/>
        </w:rPr>
      </w:pPr>
      <w:r w:rsidRPr="00270DF9">
        <w:rPr>
          <w:rFonts w:ascii="Century Gothic" w:eastAsia="Times New Roman" w:hAnsi="Century Gothic" w:cs="Times New Roman"/>
          <w:i/>
          <w:sz w:val="20"/>
          <w:szCs w:val="20"/>
          <w:lang w:eastAsia="fr-FR"/>
        </w:rPr>
        <w:t>La note de présentation est un document intervenant en amont de la candidature d’une OSC à une convention de partenariat pluriannuel (CPP). Elle est rédigée par l’OSC, à destination de l’Agence française de développement</w:t>
      </w:r>
      <w:r w:rsidRPr="00477DFE">
        <w:rPr>
          <w:rFonts w:ascii="Century Gothic" w:eastAsia="Times New Roman" w:hAnsi="Century Gothic" w:cs="Times New Roman"/>
          <w:b/>
          <w:i/>
          <w:sz w:val="20"/>
          <w:szCs w:val="20"/>
          <w:lang w:eastAsia="fr-FR"/>
        </w:rPr>
        <w:t xml:space="preserve">, afin de pouvoir entamer un dialogue </w:t>
      </w:r>
      <w:r w:rsidRPr="00477DFE">
        <w:rPr>
          <w:rFonts w:ascii="Century Gothic" w:eastAsia="Times New Roman" w:hAnsi="Century Gothic" w:cs="Times New Roman"/>
          <w:b/>
          <w:i/>
          <w:sz w:val="20"/>
          <w:szCs w:val="20"/>
          <w:u w:val="single"/>
          <w:lang w:eastAsia="fr-FR"/>
        </w:rPr>
        <w:t xml:space="preserve">approfondi </w:t>
      </w:r>
      <w:r w:rsidRPr="00477DFE">
        <w:rPr>
          <w:rFonts w:ascii="Century Gothic" w:eastAsia="Times New Roman" w:hAnsi="Century Gothic" w:cs="Times New Roman"/>
          <w:b/>
          <w:i/>
          <w:sz w:val="20"/>
          <w:szCs w:val="20"/>
          <w:lang w:eastAsia="fr-FR"/>
        </w:rPr>
        <w:t>avec l’Agence (AFD) et le ministère de l’Europe et des Affaires étrangères (MEAE/DGM)</w:t>
      </w:r>
      <w:r w:rsidRPr="00270DF9">
        <w:rPr>
          <w:rFonts w:ascii="Century Gothic" w:eastAsia="Times New Roman" w:hAnsi="Century Gothic" w:cs="Times New Roman"/>
          <w:i/>
          <w:sz w:val="20"/>
          <w:szCs w:val="20"/>
          <w:lang w:eastAsia="fr-FR"/>
        </w:rPr>
        <w:t xml:space="preserve"> ; elle constitue une étape préalable impérative à la rédaction du document programme (Note d’Initiative ONG – NIONG CPP) et sera soumis comme note d’intention pour l’AMI. </w:t>
      </w:r>
    </w:p>
    <w:p w14:paraId="0D5283EF" w14:textId="77777777" w:rsidR="00270DF9" w:rsidRPr="00270DF9" w:rsidRDefault="00270DF9" w:rsidP="00270DF9">
      <w:pPr>
        <w:tabs>
          <w:tab w:val="left" w:pos="0"/>
        </w:tabs>
        <w:spacing w:after="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fr-FR"/>
        </w:rPr>
      </w:pPr>
    </w:p>
    <w:p w14:paraId="319C25A4" w14:textId="77777777" w:rsidR="00270DF9" w:rsidRPr="00270DF9" w:rsidRDefault="00270DF9" w:rsidP="00270DF9">
      <w:pPr>
        <w:tabs>
          <w:tab w:val="left" w:pos="0"/>
        </w:tabs>
        <w:spacing w:after="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fr-FR"/>
        </w:rPr>
      </w:pPr>
      <w:r w:rsidRPr="00270DF9">
        <w:rPr>
          <w:rFonts w:ascii="Century Gothic" w:eastAsia="Times New Roman" w:hAnsi="Century Gothic" w:cs="Times New Roman"/>
          <w:i/>
          <w:sz w:val="20"/>
          <w:szCs w:val="20"/>
          <w:lang w:eastAsia="fr-FR"/>
        </w:rPr>
        <w:t xml:space="preserve">La note doit être courte (8 pages maximum) et présenter la vision stratégique de la CPP et les partenariats qui seront développés, notamment avec les acteurs locaux. </w:t>
      </w:r>
    </w:p>
    <w:p w14:paraId="4E5CD8CC" w14:textId="77777777" w:rsidR="00270DF9" w:rsidRPr="00270DF9" w:rsidRDefault="00270DF9" w:rsidP="00270DF9">
      <w:pPr>
        <w:spacing w:after="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fr-FR"/>
        </w:rPr>
      </w:pPr>
    </w:p>
    <w:p w14:paraId="5AF5EA3E" w14:textId="77777777" w:rsidR="00270DF9" w:rsidRPr="00270DF9" w:rsidRDefault="00270DF9" w:rsidP="00270DF9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2" w:color="4F81BD"/>
        </w:pBdr>
        <w:shd w:val="clear" w:color="auto" w:fill="4F81BD"/>
        <w:spacing w:after="0"/>
        <w:jc w:val="both"/>
        <w:outlineLvl w:val="0"/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</w:pPr>
      <w:r w:rsidRPr="00270DF9"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  <w:t xml:space="preserve">1. RENSEIGNEMENTS RELATIFS A la CPP </w:t>
      </w:r>
    </w:p>
    <w:p w14:paraId="27282816" w14:textId="77777777" w:rsidR="00270DF9" w:rsidRPr="00270DF9" w:rsidRDefault="00270DF9" w:rsidP="00270DF9">
      <w:pPr>
        <w:spacing w:after="0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4A96AC7B" w14:textId="77777777" w:rsidR="00270DF9" w:rsidRPr="00270DF9" w:rsidRDefault="00270DF9" w:rsidP="00270DF9">
      <w:pPr>
        <w:numPr>
          <w:ilvl w:val="0"/>
          <w:numId w:val="4"/>
        </w:num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 xml:space="preserve">Nom de la CPP : </w:t>
      </w:r>
    </w:p>
    <w:p w14:paraId="1163D862" w14:textId="77777777" w:rsidR="00270DF9" w:rsidRPr="00270DF9" w:rsidRDefault="00270DF9" w:rsidP="00270DF9">
      <w:pPr>
        <w:numPr>
          <w:ilvl w:val="0"/>
          <w:numId w:val="4"/>
        </w:num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 xml:space="preserve">Montant total de la CPP et montant estimé du financement demandé à l’AFD sur 4 ans : </w:t>
      </w:r>
    </w:p>
    <w:p w14:paraId="3E70D815" w14:textId="77777777" w:rsidR="00270DF9" w:rsidRPr="00270DF9" w:rsidRDefault="00270DF9" w:rsidP="00270DF9">
      <w:pPr>
        <w:numPr>
          <w:ilvl w:val="0"/>
          <w:numId w:val="4"/>
        </w:num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Thématiques/secteurs d’intervention envisagés :</w:t>
      </w:r>
    </w:p>
    <w:p w14:paraId="0A1E651D" w14:textId="77777777" w:rsidR="00270DF9" w:rsidRPr="00270DF9" w:rsidRDefault="00270DF9" w:rsidP="00270DF9">
      <w:pPr>
        <w:numPr>
          <w:ilvl w:val="0"/>
          <w:numId w:val="4"/>
        </w:num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 xml:space="preserve">Pays d’intervention envisagés : </w:t>
      </w:r>
    </w:p>
    <w:p w14:paraId="4B19C7F3" w14:textId="77777777" w:rsidR="00270DF9" w:rsidRPr="00270DF9" w:rsidRDefault="00270DF9" w:rsidP="00270DF9">
      <w:pPr>
        <w:numPr>
          <w:ilvl w:val="0"/>
          <w:numId w:val="4"/>
        </w:num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 xml:space="preserve">Démarrage souhaité de la CPP (mois/année) : </w:t>
      </w:r>
    </w:p>
    <w:p w14:paraId="37189AE2" w14:textId="77777777" w:rsidR="00270DF9" w:rsidRPr="00270DF9" w:rsidRDefault="00270DF9" w:rsidP="00270DF9">
      <w:pPr>
        <w:numPr>
          <w:ilvl w:val="0"/>
          <w:numId w:val="4"/>
        </w:numPr>
        <w:contextualSpacing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 xml:space="preserve">Contact de la personne en charge de la CPP :  </w:t>
      </w:r>
    </w:p>
    <w:p w14:paraId="45FA8F44" w14:textId="77777777" w:rsidR="00270DF9" w:rsidRPr="00270DF9" w:rsidRDefault="00270DF9" w:rsidP="00270DF9">
      <w:pPr>
        <w:spacing w:after="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38570243" w14:textId="77777777" w:rsidR="00270DF9" w:rsidRPr="00270DF9" w:rsidRDefault="00270DF9" w:rsidP="00270DF9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2" w:color="4F81BD"/>
        </w:pBdr>
        <w:shd w:val="clear" w:color="auto" w:fill="4F81BD"/>
        <w:spacing w:after="0"/>
        <w:jc w:val="both"/>
        <w:outlineLvl w:val="0"/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</w:pPr>
      <w:r w:rsidRPr="00270DF9"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  <w:t xml:space="preserve">2. POSITIONNEMENT strategique de la CPP </w:t>
      </w:r>
      <w:r w:rsidRPr="00270DF9"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lang w:eastAsia="fr-FR"/>
        </w:rPr>
        <w:t>(2 pages)</w:t>
      </w:r>
    </w:p>
    <w:p w14:paraId="7CFEA704" w14:textId="77777777" w:rsidR="00270DF9" w:rsidRPr="00270DF9" w:rsidRDefault="00270DF9" w:rsidP="00270DF9">
      <w:pPr>
        <w:spacing w:after="0"/>
        <w:ind w:left="72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505A4D1F" w14:textId="77777777" w:rsidR="00270DF9" w:rsidRPr="00270DF9" w:rsidRDefault="00270DF9" w:rsidP="00270DF9">
      <w:pPr>
        <w:shd w:val="clear" w:color="auto" w:fill="FFFFFF"/>
        <w:spacing w:after="120"/>
        <w:ind w:right="-142"/>
        <w:jc w:val="both"/>
        <w:rPr>
          <w:rFonts w:ascii="Century Gothic" w:eastAsia="Times New Roman" w:hAnsi="Century Gothic" w:cs="Times New Roman"/>
          <w:b/>
          <w:lang w:eastAsia="fr-FR"/>
        </w:rPr>
      </w:pPr>
      <w:r w:rsidRPr="00270DF9">
        <w:rPr>
          <w:rFonts w:ascii="Century Gothic" w:eastAsia="Times New Roman" w:hAnsi="Century Gothic" w:cs="Times New Roman"/>
          <w:b/>
          <w:lang w:eastAsia="fr-FR"/>
        </w:rPr>
        <w:t>2.1</w:t>
      </w:r>
      <w:r w:rsidRPr="00270DF9">
        <w:rPr>
          <w:rFonts w:ascii="Century Gothic" w:eastAsia="Times New Roman" w:hAnsi="Century Gothic" w:cs="Times New Roman"/>
          <w:b/>
          <w:lang w:eastAsia="fr-FR"/>
        </w:rPr>
        <w:tab/>
        <w:t xml:space="preserve">Stratégies globales de l’OSC </w:t>
      </w:r>
    </w:p>
    <w:p w14:paraId="334D8417" w14:textId="77777777" w:rsidR="00270DF9" w:rsidRPr="00270DF9" w:rsidRDefault="00270DF9" w:rsidP="00270DF9">
      <w:pPr>
        <w:numPr>
          <w:ilvl w:val="0"/>
          <w:numId w:val="4"/>
        </w:numPr>
        <w:spacing w:after="60"/>
        <w:ind w:left="714" w:hanging="357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Présentation de sa stratégie (développement institutionnel, axes prioritaires d’intervention…)</w:t>
      </w:r>
    </w:p>
    <w:p w14:paraId="3FD13A6D" w14:textId="77777777" w:rsidR="00270DF9" w:rsidRPr="00270DF9" w:rsidRDefault="00270DF9" w:rsidP="00270DF9">
      <w:pPr>
        <w:shd w:val="clear" w:color="auto" w:fill="FFFFFF"/>
        <w:spacing w:after="0"/>
        <w:ind w:right="-142"/>
        <w:jc w:val="both"/>
        <w:rPr>
          <w:rFonts w:ascii="Century Gothic" w:eastAsia="Times New Roman" w:hAnsi="Century Gothic" w:cs="Times New Roman"/>
          <w:b/>
          <w:lang w:eastAsia="fr-FR"/>
        </w:rPr>
      </w:pPr>
    </w:p>
    <w:p w14:paraId="58BB39CB" w14:textId="77777777" w:rsidR="00270DF9" w:rsidRPr="00270DF9" w:rsidRDefault="00270DF9" w:rsidP="00270DF9">
      <w:pPr>
        <w:shd w:val="clear" w:color="auto" w:fill="FFFFFF"/>
        <w:spacing w:after="120"/>
        <w:ind w:right="-142"/>
        <w:jc w:val="both"/>
        <w:rPr>
          <w:rFonts w:ascii="Century Gothic" w:eastAsia="Times New Roman" w:hAnsi="Century Gothic" w:cs="Times New Roman"/>
          <w:b/>
          <w:lang w:eastAsia="fr-FR"/>
        </w:rPr>
      </w:pPr>
      <w:r w:rsidRPr="00270DF9">
        <w:rPr>
          <w:rFonts w:ascii="Century Gothic" w:eastAsia="Times New Roman" w:hAnsi="Century Gothic" w:cs="Times New Roman"/>
          <w:b/>
          <w:lang w:eastAsia="fr-FR"/>
        </w:rPr>
        <w:t>2.2</w:t>
      </w:r>
      <w:r w:rsidRPr="00270DF9">
        <w:rPr>
          <w:rFonts w:ascii="Century Gothic" w:eastAsia="Times New Roman" w:hAnsi="Century Gothic" w:cs="Times New Roman"/>
          <w:b/>
          <w:lang w:eastAsia="fr-FR"/>
        </w:rPr>
        <w:tab/>
        <w:t>Vision stratégique portée par la CPP</w:t>
      </w:r>
    </w:p>
    <w:p w14:paraId="21A5048E" w14:textId="77777777" w:rsidR="00270DF9" w:rsidRPr="00270DF9" w:rsidRDefault="00270DF9" w:rsidP="00270DF9">
      <w:pPr>
        <w:numPr>
          <w:ilvl w:val="0"/>
          <w:numId w:val="4"/>
        </w:numPr>
        <w:spacing w:after="60"/>
        <w:ind w:left="714" w:hanging="357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 xml:space="preserve">Pourquoi cette CPP ? : à quelle analyse contextuelle et à quels enjeux répond-elle ? </w:t>
      </w:r>
    </w:p>
    <w:p w14:paraId="52AC6CF6" w14:textId="77777777" w:rsidR="00270DF9" w:rsidRPr="00270DF9" w:rsidRDefault="00270DF9" w:rsidP="00270DF9">
      <w:pPr>
        <w:numPr>
          <w:ilvl w:val="0"/>
          <w:numId w:val="4"/>
        </w:numPr>
        <w:spacing w:after="60"/>
        <w:ind w:left="714" w:hanging="357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Comment s’inscrit la CPP dans la stratégie globale de l’OSC ? A quoi permet-elle de répondre ?</w:t>
      </w:r>
    </w:p>
    <w:p w14:paraId="3BDD0E1B" w14:textId="77777777" w:rsidR="00270DF9" w:rsidRPr="00270DF9" w:rsidRDefault="00270DF9" w:rsidP="00270DF9">
      <w:pPr>
        <w:numPr>
          <w:ilvl w:val="0"/>
          <w:numId w:val="4"/>
        </w:numPr>
        <w:spacing w:after="60"/>
        <w:ind w:left="714" w:hanging="357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Quelle vision du changement et valeur ajoutée sont portées par la CPP ? Quelles innovations sont portées par la CPP ?</w:t>
      </w:r>
    </w:p>
    <w:p w14:paraId="2A72FB80" w14:textId="77777777" w:rsidR="00270DF9" w:rsidRPr="00270DF9" w:rsidRDefault="00270DF9" w:rsidP="00270DF9">
      <w:pPr>
        <w:numPr>
          <w:ilvl w:val="0"/>
          <w:numId w:val="4"/>
        </w:numPr>
        <w:spacing w:after="60"/>
        <w:ind w:left="714" w:hanging="357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 xml:space="preserve">Articulation et influence recherchée de la CPP avec </w:t>
      </w:r>
    </w:p>
    <w:p w14:paraId="1827213D" w14:textId="77777777" w:rsidR="00270DF9" w:rsidRPr="00270DF9" w:rsidRDefault="00270DF9" w:rsidP="00270DF9">
      <w:pPr>
        <w:numPr>
          <w:ilvl w:val="1"/>
          <w:numId w:val="4"/>
        </w:numPr>
        <w:spacing w:after="60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 xml:space="preserve">Les ODD et </w:t>
      </w:r>
    </w:p>
    <w:p w14:paraId="3032DC6E" w14:textId="77777777" w:rsidR="00270DF9" w:rsidRPr="00270DF9" w:rsidRDefault="00270DF9" w:rsidP="00270DF9">
      <w:pPr>
        <w:numPr>
          <w:ilvl w:val="1"/>
          <w:numId w:val="4"/>
        </w:numPr>
        <w:spacing w:after="60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Les priorités de développement du MEAE et de l’AFD et</w:t>
      </w:r>
    </w:p>
    <w:p w14:paraId="2A3F3570" w14:textId="77777777" w:rsidR="00270DF9" w:rsidRPr="00270DF9" w:rsidRDefault="00270DF9" w:rsidP="00270DF9">
      <w:pPr>
        <w:numPr>
          <w:ilvl w:val="1"/>
          <w:numId w:val="4"/>
        </w:numPr>
        <w:spacing w:after="60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L’agenda international du développement </w:t>
      </w:r>
    </w:p>
    <w:p w14:paraId="55F1DC7B" w14:textId="77777777" w:rsidR="00270DF9" w:rsidRPr="00270DF9" w:rsidRDefault="00270DF9" w:rsidP="00270DF9">
      <w:pPr>
        <w:numPr>
          <w:ilvl w:val="1"/>
          <w:numId w:val="4"/>
        </w:numPr>
        <w:spacing w:after="60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Avec d’autres acteurs d’influence ou du secteur</w:t>
      </w:r>
    </w:p>
    <w:p w14:paraId="3AA44FDF" w14:textId="77777777" w:rsidR="00270DF9" w:rsidRPr="00270DF9" w:rsidRDefault="00270DF9" w:rsidP="00270DF9">
      <w:pPr>
        <w:spacing w:after="0"/>
        <w:ind w:left="36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</w:p>
    <w:p w14:paraId="4C98FB26" w14:textId="77777777" w:rsidR="00270DF9" w:rsidRPr="00270DF9" w:rsidRDefault="00270DF9" w:rsidP="00270DF9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2" w:color="4F81BD"/>
        </w:pBdr>
        <w:shd w:val="clear" w:color="auto" w:fill="4F81BD"/>
        <w:spacing w:after="0"/>
        <w:jc w:val="both"/>
        <w:outlineLvl w:val="0"/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</w:pPr>
      <w:r w:rsidRPr="00270DF9"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  <w:t xml:space="preserve">3. logique d’intervention de la CPP </w:t>
      </w:r>
      <w:r w:rsidRPr="00270DF9"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lang w:eastAsia="fr-FR"/>
        </w:rPr>
        <w:t>(5 pagEs)</w:t>
      </w:r>
      <w:r w:rsidRPr="00270DF9"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  <w:t xml:space="preserve"> </w:t>
      </w:r>
    </w:p>
    <w:p w14:paraId="23E7B22E" w14:textId="77777777" w:rsidR="00270DF9" w:rsidRPr="00270DF9" w:rsidRDefault="00270DF9" w:rsidP="00270DF9">
      <w:pPr>
        <w:spacing w:after="0"/>
        <w:ind w:firstLine="284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0AAB4C3B" w14:textId="77777777" w:rsidR="00270DF9" w:rsidRPr="00270DF9" w:rsidRDefault="00270DF9" w:rsidP="00270DF9">
      <w:pPr>
        <w:shd w:val="clear" w:color="auto" w:fill="FFFFFF"/>
        <w:spacing w:after="120"/>
        <w:ind w:right="-142"/>
        <w:jc w:val="both"/>
        <w:rPr>
          <w:rFonts w:ascii="Century Gothic" w:eastAsia="Times New Roman" w:hAnsi="Century Gothic" w:cs="Times New Roman"/>
          <w:b/>
          <w:lang w:eastAsia="fr-FR"/>
        </w:rPr>
      </w:pPr>
      <w:r w:rsidRPr="00270DF9">
        <w:rPr>
          <w:rFonts w:ascii="Century Gothic" w:eastAsia="Times New Roman" w:hAnsi="Century Gothic" w:cs="Times New Roman"/>
          <w:b/>
          <w:lang w:eastAsia="fr-FR"/>
        </w:rPr>
        <w:t>3.1</w:t>
      </w:r>
      <w:r w:rsidRPr="00270DF9">
        <w:rPr>
          <w:rFonts w:ascii="Century Gothic" w:eastAsia="Times New Roman" w:hAnsi="Century Gothic" w:cs="Times New Roman"/>
          <w:b/>
          <w:lang w:eastAsia="fr-FR"/>
        </w:rPr>
        <w:tab/>
        <w:t>Principaux objectifs visés et résultats/effets/changements escomptés de la CPP</w:t>
      </w:r>
    </w:p>
    <w:p w14:paraId="68982BC7" w14:textId="77777777" w:rsidR="00270DF9" w:rsidRPr="00270DF9" w:rsidRDefault="00270DF9" w:rsidP="00270DF9">
      <w:pPr>
        <w:numPr>
          <w:ilvl w:val="0"/>
          <w:numId w:val="4"/>
        </w:numPr>
        <w:spacing w:after="60"/>
        <w:ind w:left="714" w:hanging="357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Vision du changement et description de la CPP</w:t>
      </w:r>
    </w:p>
    <w:p w14:paraId="30D461E9" w14:textId="77777777" w:rsidR="00270DF9" w:rsidRPr="00270DF9" w:rsidRDefault="00270DF9" w:rsidP="00270DF9">
      <w:pPr>
        <w:numPr>
          <w:ilvl w:val="1"/>
          <w:numId w:val="4"/>
        </w:numPr>
        <w:spacing w:after="60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Principaux objectifs de la CPP</w:t>
      </w:r>
    </w:p>
    <w:p w14:paraId="5EBD01B5" w14:textId="77777777" w:rsidR="00270DF9" w:rsidRPr="00270DF9" w:rsidRDefault="00270DF9" w:rsidP="00270DF9">
      <w:pPr>
        <w:numPr>
          <w:ilvl w:val="1"/>
          <w:numId w:val="4"/>
        </w:numPr>
        <w:spacing w:after="60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Principaux résultats/effets auxquels la CPP</w:t>
      </w:r>
      <w:r w:rsidRPr="00270DF9" w:rsidDel="00994672">
        <w:rPr>
          <w:rFonts w:ascii="Century Gothic" w:eastAsia="Times New Roman" w:hAnsi="Century Gothic" w:cs="Times New Roman"/>
          <w:lang w:eastAsia="fr-FR"/>
        </w:rPr>
        <w:t xml:space="preserve"> </w:t>
      </w:r>
      <w:r w:rsidRPr="00270DF9">
        <w:rPr>
          <w:rFonts w:ascii="Century Gothic" w:eastAsia="Times New Roman" w:hAnsi="Century Gothic" w:cs="Times New Roman"/>
          <w:lang w:eastAsia="fr-FR"/>
        </w:rPr>
        <w:t>souhaite contribuer, innovations promues par la CPP ;</w:t>
      </w:r>
    </w:p>
    <w:p w14:paraId="13F76355" w14:textId="77777777" w:rsidR="00270DF9" w:rsidRPr="00270DF9" w:rsidRDefault="00270DF9" w:rsidP="00270DF9">
      <w:pPr>
        <w:numPr>
          <w:ilvl w:val="1"/>
          <w:numId w:val="4"/>
        </w:numPr>
        <w:spacing w:after="60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Principaux bénéficiaires visés ;</w:t>
      </w:r>
    </w:p>
    <w:p w14:paraId="14AA80E8" w14:textId="77777777" w:rsidR="00270DF9" w:rsidRPr="00270DF9" w:rsidRDefault="00270DF9" w:rsidP="00270DF9">
      <w:pPr>
        <w:numPr>
          <w:ilvl w:val="1"/>
          <w:numId w:val="4"/>
        </w:numPr>
        <w:spacing w:after="60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Moyens de mesure (cibles/indicateurs de changement);</w:t>
      </w:r>
    </w:p>
    <w:p w14:paraId="6C2013A1" w14:textId="77777777" w:rsidR="00270DF9" w:rsidRPr="00270DF9" w:rsidRDefault="00270DF9" w:rsidP="00270DF9">
      <w:pPr>
        <w:spacing w:after="60"/>
        <w:ind w:left="1440"/>
        <w:jc w:val="both"/>
        <w:rPr>
          <w:rFonts w:ascii="Century Gothic" w:eastAsia="Times New Roman" w:hAnsi="Century Gothic" w:cs="Times New Roman"/>
          <w:lang w:eastAsia="fr-FR"/>
        </w:rPr>
      </w:pPr>
    </w:p>
    <w:p w14:paraId="259DEF0B" w14:textId="77777777" w:rsidR="00270DF9" w:rsidRPr="00270DF9" w:rsidRDefault="00270DF9" w:rsidP="00270DF9">
      <w:pPr>
        <w:spacing w:after="60"/>
        <w:jc w:val="both"/>
        <w:rPr>
          <w:rFonts w:ascii="Century Gothic" w:eastAsia="Times New Roman" w:hAnsi="Century Gothic" w:cs="Times New Roman"/>
          <w:i/>
          <w:color w:val="1F497D"/>
          <w:sz w:val="20"/>
          <w:szCs w:val="20"/>
          <w:lang w:eastAsia="fr-FR"/>
        </w:rPr>
      </w:pPr>
      <w:r w:rsidRPr="00270DF9">
        <w:rPr>
          <w:rFonts w:ascii="Century Gothic" w:eastAsia="Times New Roman" w:hAnsi="Century Gothic" w:cs="Times New Roman"/>
          <w:b/>
          <w:i/>
          <w:color w:val="1F497D"/>
          <w:sz w:val="20"/>
          <w:szCs w:val="20"/>
          <w:lang w:eastAsia="fr-FR"/>
        </w:rPr>
        <w:t>NB :</w:t>
      </w:r>
      <w:r w:rsidRPr="00270DF9">
        <w:rPr>
          <w:rFonts w:ascii="Century Gothic" w:eastAsia="Times New Roman" w:hAnsi="Century Gothic" w:cs="Times New Roman"/>
          <w:i/>
          <w:color w:val="1F497D"/>
          <w:sz w:val="20"/>
          <w:szCs w:val="20"/>
          <w:lang w:eastAsia="fr-FR"/>
        </w:rPr>
        <w:t xml:space="preserve"> Dans le cadre de la CPP, il est attendu que l’OSC :</w:t>
      </w:r>
    </w:p>
    <w:p w14:paraId="36E82DAC" w14:textId="77777777" w:rsidR="00270DF9" w:rsidRPr="00270DF9" w:rsidRDefault="00270DF9" w:rsidP="00270DF9">
      <w:pPr>
        <w:numPr>
          <w:ilvl w:val="0"/>
          <w:numId w:val="25"/>
        </w:numPr>
        <w:spacing w:after="60"/>
        <w:contextualSpacing/>
        <w:jc w:val="both"/>
        <w:rPr>
          <w:rFonts w:ascii="Century Gothic" w:eastAsia="Times New Roman" w:hAnsi="Century Gothic" w:cs="Times New Roman"/>
          <w:i/>
          <w:color w:val="1F497D"/>
          <w:sz w:val="20"/>
          <w:szCs w:val="20"/>
          <w:lang w:eastAsia="fr-FR"/>
        </w:rPr>
      </w:pPr>
      <w:r w:rsidRPr="00270DF9">
        <w:rPr>
          <w:rFonts w:ascii="Century Gothic" w:eastAsia="Times New Roman" w:hAnsi="Century Gothic" w:cs="Times New Roman"/>
          <w:i/>
          <w:color w:val="1F497D"/>
          <w:sz w:val="20"/>
          <w:szCs w:val="20"/>
          <w:lang w:eastAsia="fr-FR"/>
        </w:rPr>
        <w:t xml:space="preserve">Présente l’intégration de l’approche genre. </w:t>
      </w:r>
    </w:p>
    <w:p w14:paraId="042CED90" w14:textId="77777777" w:rsidR="00270DF9" w:rsidRPr="00270DF9" w:rsidRDefault="00270DF9" w:rsidP="00270DF9">
      <w:pPr>
        <w:numPr>
          <w:ilvl w:val="0"/>
          <w:numId w:val="25"/>
        </w:numPr>
        <w:spacing w:after="60"/>
        <w:contextualSpacing/>
        <w:jc w:val="both"/>
        <w:rPr>
          <w:rFonts w:ascii="Century Gothic" w:eastAsia="Times New Roman" w:hAnsi="Century Gothic" w:cs="Times New Roman"/>
          <w:i/>
          <w:color w:val="1F497D"/>
          <w:sz w:val="20"/>
          <w:szCs w:val="20"/>
          <w:lang w:eastAsia="fr-FR"/>
        </w:rPr>
      </w:pPr>
      <w:r w:rsidRPr="00270DF9">
        <w:rPr>
          <w:rFonts w:ascii="Century Gothic" w:eastAsia="Times New Roman" w:hAnsi="Century Gothic" w:cs="Times New Roman"/>
          <w:i/>
          <w:color w:val="1F497D"/>
          <w:sz w:val="20"/>
          <w:szCs w:val="20"/>
          <w:lang w:eastAsia="fr-FR"/>
        </w:rPr>
        <w:t>Mentionne les autres enjeux transversaux lorsqu’ils sont portés par la CPP : biodiversité, climat, entrepreneuriat social, Education à la citoyenneté et à la solidarité internationale, enjeu des jeunesses actrices ;</w:t>
      </w:r>
    </w:p>
    <w:p w14:paraId="4AA26B21" w14:textId="77777777" w:rsidR="00270DF9" w:rsidRPr="00270DF9" w:rsidRDefault="00270DF9" w:rsidP="00270DF9">
      <w:pPr>
        <w:numPr>
          <w:ilvl w:val="0"/>
          <w:numId w:val="25"/>
        </w:numPr>
        <w:spacing w:after="0"/>
        <w:contextualSpacing/>
        <w:jc w:val="both"/>
        <w:rPr>
          <w:rFonts w:ascii="Century Gothic" w:eastAsia="Times New Roman" w:hAnsi="Century Gothic" w:cs="Times New Roman"/>
          <w:i/>
          <w:color w:val="1F497D"/>
          <w:sz w:val="20"/>
          <w:szCs w:val="20"/>
          <w:lang w:eastAsia="fr-FR"/>
        </w:rPr>
      </w:pPr>
      <w:r w:rsidRPr="00270DF9">
        <w:rPr>
          <w:rFonts w:ascii="Century Gothic" w:eastAsia="Times New Roman" w:hAnsi="Century Gothic" w:cs="Times New Roman"/>
          <w:i/>
          <w:color w:val="1F497D"/>
          <w:sz w:val="20"/>
          <w:szCs w:val="20"/>
          <w:lang w:eastAsia="fr-FR"/>
        </w:rPr>
        <w:t xml:space="preserve">Prenne en compte des facteurs de vulnérabilité et renforce la résilience </w:t>
      </w:r>
    </w:p>
    <w:p w14:paraId="53F4A535" w14:textId="77777777" w:rsidR="00270DF9" w:rsidRPr="00270DF9" w:rsidRDefault="00270DF9" w:rsidP="00270DF9">
      <w:pPr>
        <w:spacing w:after="60"/>
        <w:ind w:left="357"/>
        <w:jc w:val="both"/>
        <w:rPr>
          <w:rFonts w:ascii="Century Gothic" w:eastAsia="Times New Roman" w:hAnsi="Century Gothic" w:cs="Times New Roman"/>
          <w:lang w:eastAsia="fr-FR"/>
        </w:rPr>
      </w:pPr>
    </w:p>
    <w:p w14:paraId="6B72C262" w14:textId="77777777" w:rsidR="00270DF9" w:rsidRPr="00270DF9" w:rsidRDefault="00270DF9" w:rsidP="00270DF9">
      <w:pPr>
        <w:numPr>
          <w:ilvl w:val="0"/>
          <w:numId w:val="4"/>
        </w:numPr>
        <w:spacing w:after="60"/>
        <w:ind w:left="714" w:hanging="357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 xml:space="preserve">Résultats spécifiques de la CPP au regard des autres interventions que l’OSC mène sur des thématiques ou pays/régions similaires </w:t>
      </w:r>
    </w:p>
    <w:p w14:paraId="2C982B87" w14:textId="77777777" w:rsidR="00270DF9" w:rsidRPr="00270DF9" w:rsidRDefault="00270DF9" w:rsidP="00270DF9">
      <w:pPr>
        <w:spacing w:after="0"/>
        <w:ind w:left="72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</w:p>
    <w:p w14:paraId="64CAB2AE" w14:textId="77777777" w:rsidR="00270DF9" w:rsidRPr="00270DF9" w:rsidRDefault="00270DF9" w:rsidP="00270DF9">
      <w:pPr>
        <w:spacing w:after="120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b/>
          <w:lang w:eastAsia="fr-FR"/>
        </w:rPr>
        <w:t xml:space="preserve">3.2 </w:t>
      </w:r>
      <w:r w:rsidRPr="00270DF9">
        <w:rPr>
          <w:rFonts w:ascii="Century Gothic" w:eastAsia="Times New Roman" w:hAnsi="Century Gothic" w:cs="Times New Roman"/>
          <w:b/>
          <w:lang w:eastAsia="fr-FR"/>
        </w:rPr>
        <w:tab/>
        <w:t xml:space="preserve">Capitalisation, évaluation </w:t>
      </w:r>
    </w:p>
    <w:p w14:paraId="4F35B8D8" w14:textId="77777777" w:rsidR="00270DF9" w:rsidRPr="00270DF9" w:rsidRDefault="00270DF9" w:rsidP="00270DF9">
      <w:pPr>
        <w:numPr>
          <w:ilvl w:val="0"/>
          <w:numId w:val="4"/>
        </w:num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En quoi la CPP contribue-t-elle à l’apprentissage partagé de l’OSC, de ses partenaires locaux, du secteur associatif et des pouvoirs publics (dont l’AFD) ?</w:t>
      </w:r>
    </w:p>
    <w:p w14:paraId="5B010511" w14:textId="77777777" w:rsidR="00270DF9" w:rsidRPr="00270DF9" w:rsidRDefault="00270DF9" w:rsidP="00270DF9">
      <w:pPr>
        <w:numPr>
          <w:ilvl w:val="0"/>
          <w:numId w:val="4"/>
        </w:num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Quels dispositifs de capitalisation, de suivi-évaluation et d’évaluation externe sont envisagés?</w:t>
      </w:r>
    </w:p>
    <w:p w14:paraId="512C4BC5" w14:textId="77777777" w:rsidR="00270DF9" w:rsidRPr="00270DF9" w:rsidRDefault="00270DF9" w:rsidP="00270DF9">
      <w:pPr>
        <w:spacing w:after="60"/>
        <w:jc w:val="both"/>
        <w:rPr>
          <w:rFonts w:ascii="Century Gothic" w:eastAsia="Times New Roman" w:hAnsi="Century Gothic" w:cs="Times New Roman"/>
          <w:lang w:eastAsia="fr-FR"/>
        </w:rPr>
      </w:pPr>
    </w:p>
    <w:p w14:paraId="2B63A24E" w14:textId="77777777" w:rsidR="00270DF9" w:rsidRPr="00270DF9" w:rsidRDefault="00270DF9" w:rsidP="00270DF9">
      <w:pPr>
        <w:shd w:val="clear" w:color="auto" w:fill="FFFFFF"/>
        <w:spacing w:after="120"/>
        <w:ind w:right="-142"/>
        <w:jc w:val="both"/>
        <w:rPr>
          <w:rFonts w:ascii="Century Gothic" w:eastAsia="Times New Roman" w:hAnsi="Century Gothic" w:cs="Times New Roman"/>
          <w:b/>
          <w:lang w:eastAsia="fr-FR"/>
        </w:rPr>
      </w:pPr>
      <w:r w:rsidRPr="00270DF9">
        <w:rPr>
          <w:rFonts w:ascii="Century Gothic" w:eastAsia="Times New Roman" w:hAnsi="Century Gothic" w:cs="Times New Roman"/>
          <w:b/>
          <w:lang w:eastAsia="fr-FR"/>
        </w:rPr>
        <w:t>3.3</w:t>
      </w:r>
      <w:r w:rsidRPr="00270DF9">
        <w:rPr>
          <w:rFonts w:ascii="Century Gothic" w:eastAsia="Times New Roman" w:hAnsi="Century Gothic" w:cs="Times New Roman"/>
          <w:b/>
          <w:lang w:eastAsia="fr-FR"/>
        </w:rPr>
        <w:tab/>
        <w:t>Stratégies partenariales et renforcement des capacités des acteurs locaux</w:t>
      </w:r>
    </w:p>
    <w:p w14:paraId="285646BB" w14:textId="77777777" w:rsidR="00270DF9" w:rsidRPr="00270DF9" w:rsidRDefault="00270DF9" w:rsidP="00270DF9">
      <w:pPr>
        <w:numPr>
          <w:ilvl w:val="0"/>
          <w:numId w:val="4"/>
        </w:numPr>
        <w:spacing w:after="60"/>
        <w:ind w:left="714" w:hanging="357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Quelles stratégies partenariales et quelles modalités d’accompagnement et de renforcement des partenaires locaux la CPP sert-elle ? Quelles sont les finalités recherchées ?</w:t>
      </w:r>
    </w:p>
    <w:p w14:paraId="10E436D9" w14:textId="77777777" w:rsidR="00270DF9" w:rsidRPr="00270DF9" w:rsidRDefault="00270DF9" w:rsidP="00270DF9">
      <w:pPr>
        <w:numPr>
          <w:ilvl w:val="0"/>
          <w:numId w:val="4"/>
        </w:numPr>
        <w:spacing w:after="60"/>
        <w:ind w:left="714" w:hanging="357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Quels sont les résultats/effets attendus et comment seront-ils mesurés ?</w:t>
      </w:r>
    </w:p>
    <w:p w14:paraId="1E18DE2D" w14:textId="77777777" w:rsidR="00270DF9" w:rsidRPr="00270DF9" w:rsidRDefault="00270DF9" w:rsidP="00270DF9">
      <w:pPr>
        <w:numPr>
          <w:ilvl w:val="0"/>
          <w:numId w:val="4"/>
        </w:num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 xml:space="preserve">Quelle dynamique de renforcement réciproque entre l’OSC française et ses partenaires la CPP porte-t-elle? </w:t>
      </w:r>
    </w:p>
    <w:p w14:paraId="3B1038CB" w14:textId="77777777" w:rsidR="00270DF9" w:rsidRPr="00270DF9" w:rsidRDefault="00270DF9" w:rsidP="00270DF9">
      <w:p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</w:p>
    <w:p w14:paraId="785F926B" w14:textId="77777777" w:rsidR="00270DF9" w:rsidRPr="00270DF9" w:rsidRDefault="00270DF9" w:rsidP="00270DF9">
      <w:pPr>
        <w:spacing w:after="120"/>
        <w:jc w:val="both"/>
        <w:rPr>
          <w:rFonts w:ascii="Century Gothic" w:eastAsia="Times New Roman" w:hAnsi="Century Gothic" w:cs="Times New Roman"/>
          <w:b/>
          <w:lang w:eastAsia="fr-FR"/>
        </w:rPr>
      </w:pPr>
      <w:r w:rsidRPr="00270DF9">
        <w:rPr>
          <w:rFonts w:ascii="Century Gothic" w:eastAsia="Times New Roman" w:hAnsi="Century Gothic" w:cs="Times New Roman"/>
          <w:b/>
          <w:lang w:eastAsia="fr-FR"/>
        </w:rPr>
        <w:t xml:space="preserve">3.4 </w:t>
      </w:r>
      <w:r w:rsidRPr="00270DF9">
        <w:rPr>
          <w:rFonts w:ascii="Century Gothic" w:eastAsia="Times New Roman" w:hAnsi="Century Gothic" w:cs="Times New Roman"/>
          <w:b/>
          <w:lang w:eastAsia="fr-FR"/>
        </w:rPr>
        <w:tab/>
        <w:t>Pérennité</w:t>
      </w:r>
    </w:p>
    <w:p w14:paraId="05810870" w14:textId="77777777" w:rsidR="00270DF9" w:rsidRPr="00270DF9" w:rsidRDefault="00270DF9" w:rsidP="00270DF9">
      <w:pPr>
        <w:numPr>
          <w:ilvl w:val="0"/>
          <w:numId w:val="4"/>
        </w:num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Quelles mesures sont envisagées pour garantir la pérennité des résultats/effets de la CPP ?</w:t>
      </w:r>
    </w:p>
    <w:p w14:paraId="422D6403" w14:textId="77777777" w:rsidR="00270DF9" w:rsidRPr="00270DF9" w:rsidRDefault="00270DF9" w:rsidP="00270DF9">
      <w:p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</w:p>
    <w:p w14:paraId="6262B130" w14:textId="77777777" w:rsidR="00270DF9" w:rsidRPr="00270DF9" w:rsidRDefault="00270DF9" w:rsidP="00270DF9">
      <w:p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</w:p>
    <w:p w14:paraId="7F346011" w14:textId="77777777" w:rsidR="00270DF9" w:rsidRPr="00270DF9" w:rsidRDefault="00270DF9" w:rsidP="00270DF9">
      <w:p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</w:p>
    <w:p w14:paraId="17566005" w14:textId="77777777" w:rsidR="00270DF9" w:rsidRPr="00270DF9" w:rsidRDefault="00270DF9" w:rsidP="00270DF9">
      <w:pPr>
        <w:spacing w:after="0"/>
        <w:contextualSpacing/>
        <w:jc w:val="both"/>
        <w:rPr>
          <w:rFonts w:ascii="Century Gothic" w:eastAsia="Times New Roman" w:hAnsi="Century Gothic" w:cs="Times New Roman"/>
          <w:lang w:eastAsia="fr-FR"/>
        </w:rPr>
      </w:pPr>
    </w:p>
    <w:p w14:paraId="67AE4C66" w14:textId="77777777" w:rsidR="00270DF9" w:rsidRPr="00270DF9" w:rsidRDefault="00270DF9" w:rsidP="00270DF9">
      <w:pPr>
        <w:spacing w:after="0"/>
        <w:ind w:left="284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24B5C1D1" w14:textId="77777777" w:rsidR="00270DF9" w:rsidRPr="00270DF9" w:rsidRDefault="00270DF9" w:rsidP="00270DF9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2" w:color="4F81BD"/>
        </w:pBdr>
        <w:shd w:val="clear" w:color="auto" w:fill="4F81BD"/>
        <w:spacing w:after="0"/>
        <w:jc w:val="both"/>
        <w:outlineLvl w:val="0"/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</w:pPr>
      <w:r w:rsidRPr="00270DF9"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  <w:lastRenderedPageBreak/>
        <w:t xml:space="preserve">4. COMMUNICATION ET VISIBILITE </w:t>
      </w:r>
      <w:r w:rsidRPr="00270DF9"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lang w:eastAsia="fr-FR"/>
        </w:rPr>
        <w:t>(1/2 page)</w:t>
      </w:r>
    </w:p>
    <w:p w14:paraId="6BD943D1" w14:textId="77777777" w:rsidR="00270DF9" w:rsidRPr="00270DF9" w:rsidRDefault="00270DF9" w:rsidP="00270DF9">
      <w:pPr>
        <w:spacing w:after="0"/>
        <w:jc w:val="both"/>
        <w:rPr>
          <w:rFonts w:ascii="Century Gothic" w:eastAsia="Times New Roman" w:hAnsi="Century Gothic" w:cs="Times New Roman"/>
          <w:b/>
          <w:lang w:eastAsia="fr-FR"/>
        </w:rPr>
      </w:pPr>
    </w:p>
    <w:p w14:paraId="090BA16A" w14:textId="77777777" w:rsidR="00270DF9" w:rsidRPr="00270DF9" w:rsidRDefault="00270DF9" w:rsidP="00270DF9">
      <w:pPr>
        <w:numPr>
          <w:ilvl w:val="1"/>
          <w:numId w:val="24"/>
        </w:numPr>
        <w:spacing w:after="120"/>
        <w:contextualSpacing/>
        <w:jc w:val="both"/>
        <w:rPr>
          <w:rFonts w:ascii="Century Gothic" w:eastAsia="Times New Roman" w:hAnsi="Century Gothic" w:cs="Times New Roman"/>
          <w:b/>
          <w:lang w:eastAsia="fr-FR"/>
        </w:rPr>
      </w:pPr>
      <w:r w:rsidRPr="00270DF9">
        <w:rPr>
          <w:rFonts w:ascii="Century Gothic" w:eastAsia="Times New Roman" w:hAnsi="Century Gothic" w:cs="Times New Roman"/>
          <w:b/>
          <w:lang w:eastAsia="fr-FR"/>
        </w:rPr>
        <w:t xml:space="preserve">Quelles stratégies de communication et de visibilité envisagées </w:t>
      </w:r>
    </w:p>
    <w:p w14:paraId="1E3C15FC" w14:textId="77777777" w:rsidR="00270DF9" w:rsidRPr="00270DF9" w:rsidRDefault="00270DF9" w:rsidP="00270DF9">
      <w:pPr>
        <w:numPr>
          <w:ilvl w:val="0"/>
          <w:numId w:val="26"/>
        </w:numPr>
        <w:spacing w:after="0" w:line="240" w:lineRule="auto"/>
        <w:ind w:left="709" w:hanging="425"/>
        <w:contextualSpacing/>
        <w:jc w:val="both"/>
        <w:rPr>
          <w:rFonts w:ascii="Century Gothic" w:eastAsia="Times New Roman" w:hAnsi="Century Gothic" w:cs="Times New Roman"/>
          <w:sz w:val="24"/>
          <w:szCs w:val="20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Les objectifs, les publics visés et les actions envisagées</w:t>
      </w:r>
    </w:p>
    <w:p w14:paraId="02241A0D" w14:textId="77777777" w:rsidR="00270DF9" w:rsidRPr="00270DF9" w:rsidRDefault="00270DF9" w:rsidP="00270DF9">
      <w:pPr>
        <w:numPr>
          <w:ilvl w:val="0"/>
          <w:numId w:val="26"/>
        </w:numPr>
        <w:spacing w:after="0" w:line="240" w:lineRule="auto"/>
        <w:ind w:left="709" w:hanging="425"/>
        <w:contextualSpacing/>
        <w:jc w:val="both"/>
        <w:rPr>
          <w:rFonts w:ascii="Century Gothic" w:eastAsia="Times New Roman" w:hAnsi="Century Gothic" w:cs="Times New Roman"/>
          <w:sz w:val="24"/>
          <w:szCs w:val="20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Quels résultats attendus</w:t>
      </w:r>
    </w:p>
    <w:p w14:paraId="3E080C5C" w14:textId="77777777" w:rsidR="00270DF9" w:rsidRPr="00270DF9" w:rsidRDefault="00270DF9" w:rsidP="00270DF9">
      <w:pPr>
        <w:spacing w:after="0"/>
        <w:ind w:left="720"/>
        <w:contextualSpacing/>
        <w:jc w:val="both"/>
        <w:rPr>
          <w:rFonts w:ascii="Century Gothic" w:eastAsia="Times New Roman" w:hAnsi="Century Gothic" w:cs="Times New Roman"/>
          <w:sz w:val="24"/>
          <w:szCs w:val="24"/>
          <w:lang w:eastAsia="fr-FR"/>
        </w:rPr>
      </w:pPr>
    </w:p>
    <w:p w14:paraId="55CF02A2" w14:textId="77777777" w:rsidR="00270DF9" w:rsidRPr="00270DF9" w:rsidRDefault="00270DF9" w:rsidP="00270DF9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2" w:color="4F81BD"/>
        </w:pBdr>
        <w:shd w:val="clear" w:color="auto" w:fill="4F81BD"/>
        <w:spacing w:after="0"/>
        <w:jc w:val="both"/>
        <w:outlineLvl w:val="0"/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</w:pPr>
      <w:r w:rsidRPr="00270DF9"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sz w:val="24"/>
          <w:szCs w:val="24"/>
          <w:lang w:eastAsia="fr-FR"/>
        </w:rPr>
        <w:t xml:space="preserve">5. Montage financier </w:t>
      </w:r>
      <w:r w:rsidRPr="00270DF9">
        <w:rPr>
          <w:rFonts w:ascii="Century Gothic" w:eastAsia="Times New Roman" w:hAnsi="Century Gothic" w:cs="Times New Roman"/>
          <w:b/>
          <w:bCs/>
          <w:caps/>
          <w:color w:val="FFFFFF"/>
          <w:spacing w:val="15"/>
          <w:lang w:eastAsia="fr-FR"/>
        </w:rPr>
        <w:t>(1/2 page)</w:t>
      </w:r>
    </w:p>
    <w:p w14:paraId="01A4F033" w14:textId="77777777" w:rsidR="00270DF9" w:rsidRPr="00270DF9" w:rsidRDefault="00270DF9" w:rsidP="00270DF9">
      <w:pPr>
        <w:spacing w:after="0"/>
        <w:ind w:left="35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2F9F84DC" w14:textId="77777777" w:rsidR="00270DF9" w:rsidRPr="00270DF9" w:rsidRDefault="00270DF9" w:rsidP="00270DF9">
      <w:pPr>
        <w:numPr>
          <w:ilvl w:val="0"/>
          <w:numId w:val="4"/>
        </w:numPr>
        <w:spacing w:after="0"/>
        <w:ind w:left="714" w:hanging="357"/>
        <w:jc w:val="both"/>
        <w:rPr>
          <w:rFonts w:ascii="Century Gothic" w:eastAsia="Times New Roman" w:hAnsi="Century Gothic" w:cs="Times New Roman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Montant du programme et plan de financement envisagé (stratégie de diversification des fonds mise en place)</w:t>
      </w:r>
    </w:p>
    <w:p w14:paraId="15B8A579" w14:textId="77777777" w:rsidR="00270DF9" w:rsidRPr="00270DF9" w:rsidRDefault="00270DF9" w:rsidP="00270DF9">
      <w:pPr>
        <w:numPr>
          <w:ilvl w:val="0"/>
          <w:numId w:val="4"/>
        </w:numPr>
        <w:spacing w:after="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270DF9">
        <w:rPr>
          <w:rFonts w:ascii="Century Gothic" w:eastAsia="Times New Roman" w:hAnsi="Century Gothic" w:cs="Times New Roman"/>
          <w:lang w:eastAsia="fr-FR"/>
        </w:rPr>
        <w:t>Quelle est la valeur ajoutée du partenariat recherché, notamment par rapport aux autres financements pluriannuels</w:t>
      </w:r>
      <w:r w:rsidRPr="00270DF9">
        <w:rPr>
          <w:rFonts w:ascii="Century Gothic" w:eastAsia="Times New Roman" w:hAnsi="Century Gothic" w:cs="Times New Roman"/>
        </w:rPr>
        <w:t xml:space="preserve"> mobilisés par l’OSC auprès de l’AFD</w:t>
      </w:r>
      <w:r w:rsidRPr="00270DF9">
        <w:rPr>
          <w:rFonts w:ascii="Century Gothic" w:eastAsia="Times New Roman" w:hAnsi="Century Gothic" w:cs="Times New Roman"/>
          <w:lang w:eastAsia="fr-FR"/>
        </w:rPr>
        <w:t> et d’autres partenaires ?</w:t>
      </w:r>
    </w:p>
    <w:p w14:paraId="67B0BEC0" w14:textId="77777777" w:rsidR="00270DF9" w:rsidRPr="00270DF9" w:rsidRDefault="00270DF9" w:rsidP="00270DF9">
      <w:pPr>
        <w:jc w:val="both"/>
        <w:rPr>
          <w:rFonts w:ascii="Times New Roman" w:eastAsia="Times New Roman" w:hAnsi="Times New Roman" w:cs="Times New Roman"/>
        </w:rPr>
      </w:pPr>
    </w:p>
    <w:p w14:paraId="0292BF42" w14:textId="77777777" w:rsidR="00270DF9" w:rsidRPr="00270DF9" w:rsidRDefault="00270DF9" w:rsidP="00270DF9">
      <w:pPr>
        <w:jc w:val="both"/>
        <w:rPr>
          <w:rFonts w:ascii="Times New Roman" w:eastAsia="Times New Roman" w:hAnsi="Times New Roman" w:cs="Times New Roman"/>
        </w:rPr>
      </w:pPr>
    </w:p>
    <w:p w14:paraId="52BFE732" w14:textId="77777777" w:rsidR="00270DF9" w:rsidRPr="00270DF9" w:rsidRDefault="00270DF9" w:rsidP="00270DF9">
      <w:pPr>
        <w:jc w:val="center"/>
        <w:rPr>
          <w:rFonts w:ascii="Times New Roman" w:eastAsia="Times New Roman" w:hAnsi="Times New Roman" w:cs="Times New Roman"/>
        </w:rPr>
      </w:pPr>
      <w:r w:rsidRPr="00270DF9">
        <w:rPr>
          <w:rFonts w:ascii="Times New Roman" w:eastAsia="Times New Roman" w:hAnsi="Times New Roman" w:cs="Times New Roman"/>
        </w:rPr>
        <w:t>***</w:t>
      </w:r>
    </w:p>
    <w:p w14:paraId="011AEBDD" w14:textId="77777777" w:rsidR="00270DF9" w:rsidRPr="00695389" w:rsidRDefault="00270DF9" w:rsidP="00270DF9">
      <w:pPr>
        <w:spacing w:after="60"/>
        <w:jc w:val="center"/>
      </w:pPr>
    </w:p>
    <w:sectPr w:rsidR="00270DF9" w:rsidRPr="00695389" w:rsidSect="00C00FA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47A3C" w14:textId="77777777" w:rsidR="00C236D1" w:rsidRDefault="00C236D1" w:rsidP="001D2F6C">
      <w:pPr>
        <w:spacing w:after="0" w:line="240" w:lineRule="auto"/>
      </w:pPr>
      <w:r>
        <w:separator/>
      </w:r>
    </w:p>
  </w:endnote>
  <w:endnote w:type="continuationSeparator" w:id="0">
    <w:p w14:paraId="049BD70D" w14:textId="77777777" w:rsidR="00C236D1" w:rsidRDefault="00C236D1" w:rsidP="001D2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1B698" w14:textId="77777777" w:rsidR="00C236D1" w:rsidRDefault="00C236D1" w:rsidP="001D2F6C">
      <w:pPr>
        <w:spacing w:after="0" w:line="240" w:lineRule="auto"/>
      </w:pPr>
      <w:r>
        <w:separator/>
      </w:r>
    </w:p>
  </w:footnote>
  <w:footnote w:type="continuationSeparator" w:id="0">
    <w:p w14:paraId="514A5718" w14:textId="77777777" w:rsidR="00C236D1" w:rsidRDefault="00C236D1" w:rsidP="001D2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83930"/>
    <w:multiLevelType w:val="hybridMultilevel"/>
    <w:tmpl w:val="D342299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90A21"/>
    <w:multiLevelType w:val="hybridMultilevel"/>
    <w:tmpl w:val="57EAFC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028E1"/>
    <w:multiLevelType w:val="hybridMultilevel"/>
    <w:tmpl w:val="5DDEA7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4FF"/>
    <w:multiLevelType w:val="hybridMultilevel"/>
    <w:tmpl w:val="62AA9A34"/>
    <w:lvl w:ilvl="0" w:tplc="76F4EF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25211"/>
    <w:multiLevelType w:val="hybridMultilevel"/>
    <w:tmpl w:val="2070E13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FC6CE9"/>
    <w:multiLevelType w:val="hybridMultilevel"/>
    <w:tmpl w:val="5DDEA7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5163F"/>
    <w:multiLevelType w:val="hybridMultilevel"/>
    <w:tmpl w:val="01B61E68"/>
    <w:lvl w:ilvl="0" w:tplc="BE98613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C2D7A"/>
    <w:multiLevelType w:val="hybridMultilevel"/>
    <w:tmpl w:val="D974B906"/>
    <w:lvl w:ilvl="0" w:tplc="040C000B">
      <w:start w:val="1"/>
      <w:numFmt w:val="bullet"/>
      <w:lvlText w:val=""/>
      <w:lvlJc w:val="left"/>
      <w:pPr>
        <w:ind w:left="71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8" w15:restartNumberingAfterBreak="0">
    <w:nsid w:val="1B706075"/>
    <w:multiLevelType w:val="hybridMultilevel"/>
    <w:tmpl w:val="5364B7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521DB"/>
    <w:multiLevelType w:val="hybridMultilevel"/>
    <w:tmpl w:val="12326ABA"/>
    <w:lvl w:ilvl="0" w:tplc="040C0015">
      <w:start w:val="1"/>
      <w:numFmt w:val="upperLetter"/>
      <w:lvlText w:val="%1."/>
      <w:lvlJc w:val="left"/>
      <w:pPr>
        <w:ind w:left="1125" w:hanging="765"/>
      </w:pPr>
      <w:rPr>
        <w:rFonts w:hint="default"/>
        <w:b/>
      </w:rPr>
    </w:lvl>
    <w:lvl w:ilvl="1" w:tplc="F07A3C66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4DA05390">
      <w:start w:val="3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A46A1"/>
    <w:multiLevelType w:val="hybridMultilevel"/>
    <w:tmpl w:val="5DDEA7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15EA0"/>
    <w:multiLevelType w:val="hybridMultilevel"/>
    <w:tmpl w:val="F87086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51E7F"/>
    <w:multiLevelType w:val="hybridMultilevel"/>
    <w:tmpl w:val="31086C08"/>
    <w:lvl w:ilvl="0" w:tplc="040C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514" w:hanging="360"/>
      </w:pPr>
    </w:lvl>
    <w:lvl w:ilvl="2" w:tplc="040C001B" w:tentative="1">
      <w:start w:val="1"/>
      <w:numFmt w:val="lowerRoman"/>
      <w:lvlText w:val="%3."/>
      <w:lvlJc w:val="right"/>
      <w:pPr>
        <w:ind w:left="2234" w:hanging="180"/>
      </w:pPr>
    </w:lvl>
    <w:lvl w:ilvl="3" w:tplc="040C000F" w:tentative="1">
      <w:start w:val="1"/>
      <w:numFmt w:val="decimal"/>
      <w:lvlText w:val="%4."/>
      <w:lvlJc w:val="left"/>
      <w:pPr>
        <w:ind w:left="2954" w:hanging="360"/>
      </w:pPr>
    </w:lvl>
    <w:lvl w:ilvl="4" w:tplc="040C0019" w:tentative="1">
      <w:start w:val="1"/>
      <w:numFmt w:val="lowerLetter"/>
      <w:lvlText w:val="%5."/>
      <w:lvlJc w:val="left"/>
      <w:pPr>
        <w:ind w:left="3674" w:hanging="360"/>
      </w:pPr>
    </w:lvl>
    <w:lvl w:ilvl="5" w:tplc="040C001B" w:tentative="1">
      <w:start w:val="1"/>
      <w:numFmt w:val="lowerRoman"/>
      <w:lvlText w:val="%6."/>
      <w:lvlJc w:val="right"/>
      <w:pPr>
        <w:ind w:left="4394" w:hanging="180"/>
      </w:pPr>
    </w:lvl>
    <w:lvl w:ilvl="6" w:tplc="040C000F" w:tentative="1">
      <w:start w:val="1"/>
      <w:numFmt w:val="decimal"/>
      <w:lvlText w:val="%7."/>
      <w:lvlJc w:val="left"/>
      <w:pPr>
        <w:ind w:left="5114" w:hanging="360"/>
      </w:pPr>
    </w:lvl>
    <w:lvl w:ilvl="7" w:tplc="040C0019" w:tentative="1">
      <w:start w:val="1"/>
      <w:numFmt w:val="lowerLetter"/>
      <w:lvlText w:val="%8."/>
      <w:lvlJc w:val="left"/>
      <w:pPr>
        <w:ind w:left="5834" w:hanging="360"/>
      </w:pPr>
    </w:lvl>
    <w:lvl w:ilvl="8" w:tplc="040C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3" w15:restartNumberingAfterBreak="0">
    <w:nsid w:val="380A0FD4"/>
    <w:multiLevelType w:val="hybridMultilevel"/>
    <w:tmpl w:val="5DDEA7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06003"/>
    <w:multiLevelType w:val="hybridMultilevel"/>
    <w:tmpl w:val="3FD8A74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954B8"/>
    <w:multiLevelType w:val="hybridMultilevel"/>
    <w:tmpl w:val="5DDEA7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65D17"/>
    <w:multiLevelType w:val="hybridMultilevel"/>
    <w:tmpl w:val="5DDEA7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31A66"/>
    <w:multiLevelType w:val="hybridMultilevel"/>
    <w:tmpl w:val="D1204350"/>
    <w:lvl w:ilvl="0" w:tplc="BE98613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8E6205"/>
    <w:multiLevelType w:val="hybridMultilevel"/>
    <w:tmpl w:val="5DDEA7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C338D"/>
    <w:multiLevelType w:val="hybridMultilevel"/>
    <w:tmpl w:val="534266F4"/>
    <w:lvl w:ilvl="0" w:tplc="89F4B6A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CE65A8"/>
    <w:multiLevelType w:val="hybridMultilevel"/>
    <w:tmpl w:val="5DDEA7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30C2A"/>
    <w:multiLevelType w:val="hybridMultilevel"/>
    <w:tmpl w:val="5DDEA7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065F8"/>
    <w:multiLevelType w:val="hybridMultilevel"/>
    <w:tmpl w:val="5DDEA7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17B39"/>
    <w:multiLevelType w:val="hybridMultilevel"/>
    <w:tmpl w:val="A7F60092"/>
    <w:lvl w:ilvl="0" w:tplc="1DCEEFC0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375E48"/>
    <w:multiLevelType w:val="hybridMultilevel"/>
    <w:tmpl w:val="90EAE3DC"/>
    <w:lvl w:ilvl="0" w:tplc="040C000B">
      <w:start w:val="1"/>
      <w:numFmt w:val="bullet"/>
      <w:lvlText w:val="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785C249C"/>
    <w:multiLevelType w:val="multilevel"/>
    <w:tmpl w:val="36D857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7"/>
  </w:num>
  <w:num w:numId="4">
    <w:abstractNumId w:val="8"/>
  </w:num>
  <w:num w:numId="5">
    <w:abstractNumId w:val="21"/>
  </w:num>
  <w:num w:numId="6">
    <w:abstractNumId w:val="18"/>
  </w:num>
  <w:num w:numId="7">
    <w:abstractNumId w:val="5"/>
  </w:num>
  <w:num w:numId="8">
    <w:abstractNumId w:val="16"/>
  </w:num>
  <w:num w:numId="9">
    <w:abstractNumId w:val="13"/>
  </w:num>
  <w:num w:numId="10">
    <w:abstractNumId w:val="10"/>
  </w:num>
  <w:num w:numId="11">
    <w:abstractNumId w:val="15"/>
  </w:num>
  <w:num w:numId="12">
    <w:abstractNumId w:val="22"/>
  </w:num>
  <w:num w:numId="13">
    <w:abstractNumId w:val="20"/>
  </w:num>
  <w:num w:numId="14">
    <w:abstractNumId w:val="19"/>
  </w:num>
  <w:num w:numId="15">
    <w:abstractNumId w:val="9"/>
  </w:num>
  <w:num w:numId="16">
    <w:abstractNumId w:val="24"/>
  </w:num>
  <w:num w:numId="17">
    <w:abstractNumId w:val="1"/>
  </w:num>
  <w:num w:numId="18">
    <w:abstractNumId w:val="23"/>
  </w:num>
  <w:num w:numId="19">
    <w:abstractNumId w:val="11"/>
  </w:num>
  <w:num w:numId="20">
    <w:abstractNumId w:val="14"/>
  </w:num>
  <w:num w:numId="21">
    <w:abstractNumId w:val="0"/>
  </w:num>
  <w:num w:numId="22">
    <w:abstractNumId w:val="1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6C"/>
    <w:rsid w:val="00060543"/>
    <w:rsid w:val="00070C41"/>
    <w:rsid w:val="00092B8E"/>
    <w:rsid w:val="000B1B66"/>
    <w:rsid w:val="000E06FD"/>
    <w:rsid w:val="00117641"/>
    <w:rsid w:val="001675FD"/>
    <w:rsid w:val="00173C8A"/>
    <w:rsid w:val="00175F55"/>
    <w:rsid w:val="001A1F46"/>
    <w:rsid w:val="001B5E3B"/>
    <w:rsid w:val="001D2F6C"/>
    <w:rsid w:val="00204F99"/>
    <w:rsid w:val="002652AA"/>
    <w:rsid w:val="00270DF9"/>
    <w:rsid w:val="00272E77"/>
    <w:rsid w:val="00273C10"/>
    <w:rsid w:val="00273F3E"/>
    <w:rsid w:val="00277F00"/>
    <w:rsid w:val="002A624C"/>
    <w:rsid w:val="002E7B91"/>
    <w:rsid w:val="003674F0"/>
    <w:rsid w:val="003B1C00"/>
    <w:rsid w:val="003C1FC7"/>
    <w:rsid w:val="003D082F"/>
    <w:rsid w:val="003F4336"/>
    <w:rsid w:val="0045446F"/>
    <w:rsid w:val="00477DFE"/>
    <w:rsid w:val="004B0A05"/>
    <w:rsid w:val="004B2B51"/>
    <w:rsid w:val="0055140D"/>
    <w:rsid w:val="00555C3A"/>
    <w:rsid w:val="005977D5"/>
    <w:rsid w:val="006954CE"/>
    <w:rsid w:val="00696957"/>
    <w:rsid w:val="006A117E"/>
    <w:rsid w:val="006E45B0"/>
    <w:rsid w:val="006E4791"/>
    <w:rsid w:val="006E76B3"/>
    <w:rsid w:val="00720C6B"/>
    <w:rsid w:val="00726715"/>
    <w:rsid w:val="00747121"/>
    <w:rsid w:val="007973EF"/>
    <w:rsid w:val="007B09FC"/>
    <w:rsid w:val="007B19EA"/>
    <w:rsid w:val="007C06C3"/>
    <w:rsid w:val="007C261C"/>
    <w:rsid w:val="007F2493"/>
    <w:rsid w:val="007F52D8"/>
    <w:rsid w:val="00800895"/>
    <w:rsid w:val="00817EF1"/>
    <w:rsid w:val="008412EC"/>
    <w:rsid w:val="008578F9"/>
    <w:rsid w:val="0087619D"/>
    <w:rsid w:val="00876A2F"/>
    <w:rsid w:val="008C0A23"/>
    <w:rsid w:val="00903A7C"/>
    <w:rsid w:val="00907EC8"/>
    <w:rsid w:val="00954452"/>
    <w:rsid w:val="009775C2"/>
    <w:rsid w:val="00986853"/>
    <w:rsid w:val="00994672"/>
    <w:rsid w:val="00994AFA"/>
    <w:rsid w:val="009A1705"/>
    <w:rsid w:val="009B714F"/>
    <w:rsid w:val="009C2688"/>
    <w:rsid w:val="009E7F4E"/>
    <w:rsid w:val="009F1E93"/>
    <w:rsid w:val="00A238E9"/>
    <w:rsid w:val="00A56B20"/>
    <w:rsid w:val="00A773E0"/>
    <w:rsid w:val="00AB4FEA"/>
    <w:rsid w:val="00B8129A"/>
    <w:rsid w:val="00B964FE"/>
    <w:rsid w:val="00BA26D6"/>
    <w:rsid w:val="00BB10F8"/>
    <w:rsid w:val="00BB45C9"/>
    <w:rsid w:val="00C00FAB"/>
    <w:rsid w:val="00C12B85"/>
    <w:rsid w:val="00C236D1"/>
    <w:rsid w:val="00C34852"/>
    <w:rsid w:val="00C66605"/>
    <w:rsid w:val="00CA339C"/>
    <w:rsid w:val="00CD6030"/>
    <w:rsid w:val="00CD6D6A"/>
    <w:rsid w:val="00CF15A1"/>
    <w:rsid w:val="00CF464B"/>
    <w:rsid w:val="00D027A0"/>
    <w:rsid w:val="00D23F3D"/>
    <w:rsid w:val="00D54D40"/>
    <w:rsid w:val="00D6554C"/>
    <w:rsid w:val="00DB0563"/>
    <w:rsid w:val="00DB13E3"/>
    <w:rsid w:val="00DB4A23"/>
    <w:rsid w:val="00E54EF1"/>
    <w:rsid w:val="00E6087C"/>
    <w:rsid w:val="00E65E2E"/>
    <w:rsid w:val="00E948ED"/>
    <w:rsid w:val="00F34E50"/>
    <w:rsid w:val="00F63FEB"/>
    <w:rsid w:val="00FD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8D637B"/>
  <w15:docId w15:val="{79258B7B-4167-49B7-895C-F1F373FE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D2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2F6C"/>
  </w:style>
  <w:style w:type="paragraph" w:styleId="Pieddepage">
    <w:name w:val="footer"/>
    <w:basedOn w:val="Normal"/>
    <w:link w:val="PieddepageCar"/>
    <w:uiPriority w:val="99"/>
    <w:unhideWhenUsed/>
    <w:rsid w:val="001D2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2F6C"/>
  </w:style>
  <w:style w:type="paragraph" w:styleId="Paragraphedeliste">
    <w:name w:val="List Paragraph"/>
    <w:basedOn w:val="Normal"/>
    <w:uiPriority w:val="34"/>
    <w:qFormat/>
    <w:rsid w:val="0069695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B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056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7267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2671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267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67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6715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B1B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B1B6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0B1B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1695D-2559-414D-9A50-1E1F6ABE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631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HENTINGER Romy</dc:creator>
  <cp:lastModifiedBy>BLUM Sylvie</cp:lastModifiedBy>
  <cp:revision>20</cp:revision>
  <cp:lastPrinted>2017-02-01T17:12:00Z</cp:lastPrinted>
  <dcterms:created xsi:type="dcterms:W3CDTF">2017-02-27T12:58:00Z</dcterms:created>
  <dcterms:modified xsi:type="dcterms:W3CDTF">2025-05-16T13:22:00Z</dcterms:modified>
</cp:coreProperties>
</file>